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W w:w="0" w:type="auto"/>
        <w:tblInd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4"/>
      </w:tblGrid>
      <w:tr w:rsidR="00F5427E">
        <w:tc>
          <w:tcPr>
            <w:tcW w:w="5634" w:type="dxa"/>
          </w:tcPr>
          <w:p w:rsidR="00F5427E" w:rsidRDefault="00244FE7">
            <w:pPr>
              <w:tabs>
                <w:tab w:val="left" w:pos="3969"/>
              </w:tabs>
              <w:overflowPunct w:val="0"/>
              <w:spacing w:after="0" w:line="240" w:lineRule="auto"/>
              <w:ind w:right="289"/>
              <w:textAlignment w:val="baseline"/>
              <w:rPr>
                <w:rFonts w:ascii="Times New Roman" w:hAnsi="Times New Roman" w:cs="Times New Roman"/>
                <w:bCs/>
                <w:szCs w:val="24"/>
              </w:rPr>
            </w:pPr>
            <w:bookmarkStart w:id="0" w:name="_Hlk119928715"/>
            <w:bookmarkEnd w:id="0"/>
            <w:r>
              <w:rPr>
                <w:rFonts w:ascii="Times New Roman" w:hAnsi="Times New Roman" w:cs="Times New Roman"/>
                <w:bCs/>
                <w:szCs w:val="24"/>
              </w:rPr>
              <w:t>PATVIRTINTA</w:t>
            </w:r>
          </w:p>
          <w:p w:rsidR="00F5427E" w:rsidRDefault="00244FE7">
            <w:pPr>
              <w:tabs>
                <w:tab w:val="left" w:pos="3969"/>
              </w:tabs>
              <w:overflowPunct w:val="0"/>
              <w:spacing w:after="0" w:line="240" w:lineRule="auto"/>
              <w:ind w:right="289"/>
              <w:textAlignment w:val="baselin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Lietuvos Respublikos  švietimo, mokslo ir sporto ministro</w:t>
            </w:r>
          </w:p>
          <w:p w:rsidR="00F5427E" w:rsidRDefault="00244FE7">
            <w:pPr>
              <w:tabs>
                <w:tab w:val="left" w:pos="3969"/>
              </w:tabs>
              <w:overflowPunct w:val="0"/>
              <w:spacing w:after="0" w:line="240" w:lineRule="auto"/>
              <w:ind w:right="289"/>
              <w:textAlignment w:val="baseline"/>
              <w:rPr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 m. gruodžio 27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d. įsakymu Nr. </w:t>
            </w:r>
            <w:r>
              <w:rPr>
                <w:rFonts w:ascii="Times New Roman" w:hAnsi="Times New Roman" w:cs="Times New Roman"/>
              </w:rPr>
              <w:t>V-2308</w:t>
            </w:r>
          </w:p>
        </w:tc>
      </w:tr>
    </w:tbl>
    <w:p w:rsidR="00F5427E" w:rsidRDefault="00244FE7">
      <w:pPr>
        <w:tabs>
          <w:tab w:val="left" w:pos="3969"/>
        </w:tabs>
        <w:overflowPunct w:val="0"/>
        <w:ind w:left="6480" w:right="289"/>
        <w:jc w:val="center"/>
        <w:textAlignment w:val="baseline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szCs w:val="24"/>
        </w:rPr>
        <w:tab/>
      </w:r>
    </w:p>
    <w:p w:rsidR="00F5427E" w:rsidRDefault="00244FE7">
      <w:pPr>
        <w:overflowPunct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BŪTINIEJI KLAIPĖDOS R. AGLUONĖNŲ MOKYKLOS-DARŽELIO, VYKDANČIOS BENDROJO UGDYMO PROGRAMAS, ŠVIETIMO STEBĖSENOS RODIKLIAI</w:t>
      </w:r>
    </w:p>
    <w:p w:rsidR="00F5427E" w:rsidRDefault="00F5427E">
      <w:pPr>
        <w:overflowPunct w:val="0"/>
        <w:textAlignment w:val="baseline"/>
        <w:rPr>
          <w:szCs w:val="24"/>
          <w:lang w:eastAsia="lt-LT"/>
        </w:rPr>
      </w:pPr>
    </w:p>
    <w:tbl>
      <w:tblPr>
        <w:tblW w:w="142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8718"/>
        <w:gridCol w:w="2621"/>
        <w:gridCol w:w="2388"/>
      </w:tblGrid>
      <w:tr w:rsidR="00F5427E" w:rsidTr="00DF59B1">
        <w:trPr>
          <w:trHeight w:val="56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Rodiklio pavadinimas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2023–2024 m. m.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427E" w:rsidRDefault="005E7D03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2024–2025</w:t>
            </w:r>
            <w:r w:rsidR="00244F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m. m.</w:t>
            </w:r>
          </w:p>
        </w:tc>
      </w:tr>
      <w:tr w:rsidR="00F5427E" w:rsidTr="00DF59B1">
        <w:trPr>
          <w:trHeight w:val="4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Pedagoginių darbuotojų pasiskirstymas pagal pedagoginio darbo stažą ir kvalifikacines kategorijas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1 lentelė</w:t>
            </w:r>
          </w:p>
        </w:tc>
      </w:tr>
      <w:tr w:rsidR="00F5427E" w:rsidTr="00DF59B1">
        <w:trPr>
          <w:trHeight w:val="44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Pareigybės dalis, tenkanti vienam pedagoginiam darbuotojui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67,24%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5E7D03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77,81</w:t>
            </w:r>
            <w:r w:rsidR="00244FE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%</w:t>
            </w:r>
          </w:p>
        </w:tc>
      </w:tr>
      <w:tr w:rsidR="00F5427E" w:rsidTr="00DF59B1">
        <w:trPr>
          <w:trHeight w:val="31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Pedagoginių darbuotojų, dalyvavusių tarptautinėse mainų programose, dalis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0</w:t>
            </w:r>
          </w:p>
        </w:tc>
      </w:tr>
      <w:tr w:rsidR="00F5427E" w:rsidTr="00DF59B1">
        <w:trPr>
          <w:trHeight w:val="5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Vienai sąlyginei mokytojo, dirbančio pagal bendrojo ugdymo programas, pareigybei tenkantis mokinių skaičius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6,99 vnt.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5E7D03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6,68</w:t>
            </w:r>
            <w:r w:rsidR="00244FE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vnt.</w:t>
            </w:r>
          </w:p>
        </w:tc>
      </w:tr>
      <w:tr w:rsidR="00F5427E" w:rsidTr="00DF59B1">
        <w:trPr>
          <w:trHeight w:val="2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Mokinių, besimokančių jungtinėse ir / ar mažesnėse nei 8 mokiniai klasėse, dalis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33,33%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5E7D03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="00244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27E" w:rsidTr="00DF59B1">
        <w:trPr>
          <w:trHeight w:val="64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Vienam mokiniui tenkantis mokymosi ir bendras patalpų plotas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9,16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(m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t-L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5E7D03" w:rsidP="005E7D03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9,94</w:t>
            </w:r>
            <w:r w:rsidR="00244F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44FE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(m</w:t>
            </w:r>
            <w:r w:rsidR="00244FE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t-LT"/>
              </w:rPr>
              <w:t>2</w:t>
            </w:r>
            <w:r w:rsidR="00244FE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</w:p>
        </w:tc>
      </w:tr>
      <w:tr w:rsidR="00F5427E" w:rsidTr="00DF59B1">
        <w:trPr>
          <w:trHeight w:val="2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Vienam mokiniui tenkančios ugdymo plano lėšos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2326,04 Eur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5E7D03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3193,57</w:t>
            </w:r>
            <w:r w:rsidR="00244F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Eur</w:t>
            </w:r>
          </w:p>
        </w:tc>
      </w:tr>
      <w:tr w:rsidR="00F5427E" w:rsidTr="00DF59B1">
        <w:trPr>
          <w:trHeight w:val="2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Mokinių pasiskirstymas pagal užsienio kalbų mokymąsi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Anglų k. - </w:t>
            </w:r>
            <w:r w:rsidR="004B1A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  <w:p w:rsidR="00F5427E" w:rsidRDefault="00F5427E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4B1A12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Anglų k. - 82</w:t>
            </w:r>
            <w:r w:rsidR="00244FE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%</w:t>
            </w:r>
          </w:p>
        </w:tc>
      </w:tr>
      <w:tr w:rsidR="00F5427E" w:rsidTr="00DF59B1">
        <w:trPr>
          <w:trHeight w:val="2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WI-FI prieigos taškų skaičius, tenkantis 100 mokinių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0,11 vnt.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5E7D03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0,11</w:t>
            </w:r>
            <w:r w:rsidR="00244FE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vnt.</w:t>
            </w:r>
          </w:p>
        </w:tc>
      </w:tr>
      <w:tr w:rsidR="00F5427E" w:rsidTr="00DF59B1">
        <w:trPr>
          <w:trHeight w:val="5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Neformaliojo vaikų švietimo veiklose, organizuojamose mokykloje ir kitų švietimo teikėjų, dalyvaujančių mokinių dalis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66,67%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5E7D03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55,56</w:t>
            </w:r>
            <w:r w:rsidR="00244FE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%</w:t>
            </w:r>
          </w:p>
        </w:tc>
      </w:tr>
      <w:tr w:rsidR="00F5427E" w:rsidTr="00DF59B1">
        <w:trPr>
          <w:trHeight w:val="2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Mokinių pasiskirstymas pagal neformaliojo švietimo kryptis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2 lentelė</w:t>
            </w:r>
          </w:p>
        </w:tc>
      </w:tr>
      <w:tr w:rsidR="00F5427E" w:rsidTr="00DF59B1">
        <w:trPr>
          <w:trHeight w:val="5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Klasių komplektų pasiskirstymas pagal dydį (maža, vidutinė, didelė) vykdant bendrojo ugdymo programas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Maža-3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5E7D03" w:rsidP="005E7D03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Maža-3</w:t>
            </w:r>
          </w:p>
        </w:tc>
      </w:tr>
      <w:tr w:rsidR="00F5427E" w:rsidTr="00DF59B1">
        <w:trPr>
          <w:trHeight w:val="2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Švietimo pagalbos specialistų, tenkančių 100 mokinių, skaičius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1,47 vnt.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5E7D03" w:rsidP="005E7D03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1,6 </w:t>
            </w:r>
            <w:r w:rsidR="00244FE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vnt.</w:t>
            </w:r>
          </w:p>
        </w:tc>
      </w:tr>
    </w:tbl>
    <w:p w:rsidR="00F5427E" w:rsidRDefault="00F5427E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F5427E" w:rsidRDefault="00244FE7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Pastaba. </w:t>
      </w:r>
      <w:r>
        <w:rPr>
          <w:rFonts w:ascii="Times New Roman" w:hAnsi="Times New Roman" w:cs="Times New Roman"/>
          <w:sz w:val="24"/>
          <w:szCs w:val="24"/>
          <w:lang w:eastAsia="lt-LT"/>
        </w:rPr>
        <w:t>Būtinųjų mokyklų, vykdančių bendrojo ugdymo programas, švietimo stebėsenos rodiklių d</w:t>
      </w:r>
      <w:r>
        <w:rPr>
          <w:rFonts w:ascii="Times New Roman" w:hAnsi="Times New Roman" w:cs="Times New Roman"/>
          <w:sz w:val="24"/>
          <w:szCs w:val="24"/>
        </w:rPr>
        <w:t>uomenų šaltinis – Švietimo valdymo informacinė sistema.</w:t>
      </w:r>
    </w:p>
    <w:p w:rsidR="00F5427E" w:rsidRDefault="00F5427E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F5427E" w:rsidRDefault="00F5427E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F5427E" w:rsidRDefault="00F5427E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0F7F19" w:rsidRDefault="000F7F19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0F7F19" w:rsidRDefault="000F7F19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0F7F19" w:rsidRDefault="000F7F19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0F7F19" w:rsidRDefault="000F7F19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0F7F19" w:rsidRDefault="000F7F19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F5427E" w:rsidRDefault="00F5427E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F5427E" w:rsidRDefault="00F5427E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F5427E" w:rsidRDefault="00244FE7">
      <w:pPr>
        <w:overflowPunct w:val="0"/>
        <w:ind w:left="709" w:right="425" w:firstLine="1247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 lentelė</w:t>
      </w:r>
    </w:p>
    <w:p w:rsidR="00F5427E" w:rsidRDefault="000F7F19" w:rsidP="000F7F19">
      <w:pPr>
        <w:tabs>
          <w:tab w:val="left" w:pos="2835"/>
        </w:tabs>
      </w:pPr>
      <w:r>
        <w:t xml:space="preserve">                                                         </w:t>
      </w:r>
      <w:r w:rsidR="00DF59B1">
        <w:t>2023</w:t>
      </w:r>
      <w:r w:rsidR="00DF59B1" w:rsidRPr="000F7F19">
        <w:rPr>
          <w:lang w:val="en-US"/>
        </w:rPr>
        <w:t xml:space="preserve">–2024 </w:t>
      </w:r>
      <w:r w:rsidR="00DF59B1">
        <w:t>m. m.</w:t>
      </w:r>
      <w:r>
        <w:t xml:space="preserve">                                                                                               2024–2025 m. m.</w:t>
      </w:r>
      <w:bookmarkStart w:id="1" w:name="_GoBack"/>
      <w:bookmarkEnd w:id="1"/>
    </w:p>
    <w:p w:rsidR="00DF59B1" w:rsidRDefault="00DF59B1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37176E30" wp14:editId="18EAEDB9">
            <wp:extent cx="3901440" cy="3200400"/>
            <wp:effectExtent l="0" t="0" r="3810" b="0"/>
            <wp:docPr id="2" name="Diagra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4B1A12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>
            <wp:extent cx="4206240" cy="3200400"/>
            <wp:effectExtent l="0" t="0" r="3810" b="0"/>
            <wp:docPr id="1" name="Diagra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F7F19" w:rsidRDefault="000F7F19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F19" w:rsidRDefault="000F7F19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F19" w:rsidRDefault="000F7F19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F19" w:rsidRDefault="000F7F19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F19" w:rsidRDefault="000F7F19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F19" w:rsidRDefault="000F7F19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F19" w:rsidRDefault="000F7F19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F19" w:rsidRDefault="000F7F19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27E" w:rsidRDefault="00244FE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lentelė</w:t>
      </w:r>
    </w:p>
    <w:p w:rsidR="00F5427E" w:rsidRDefault="000F7F19">
      <w:pPr>
        <w:tabs>
          <w:tab w:val="left" w:pos="2835"/>
        </w:tabs>
        <w:jc w:val="center"/>
      </w:pPr>
      <w:r>
        <w:rPr>
          <w:noProof/>
          <w:lang w:eastAsia="lt-LT"/>
        </w:rPr>
        <w:drawing>
          <wp:inline distT="0" distB="0" distL="0" distR="0" wp14:anchorId="396E59FD" wp14:editId="597F0411">
            <wp:extent cx="4086225" cy="3581400"/>
            <wp:effectExtent l="0" t="0" r="9525" b="0"/>
            <wp:docPr id="7" name="Diagrama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244FE7">
        <w:rPr>
          <w:noProof/>
          <w:lang w:eastAsia="lt-LT"/>
        </w:rPr>
        <w:drawing>
          <wp:inline distT="0" distB="0" distL="0" distR="0">
            <wp:extent cx="3943350" cy="3571875"/>
            <wp:effectExtent l="0" t="0" r="0" b="9525"/>
            <wp:docPr id="8" name="Diagrama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5427E" w:rsidRDefault="00F5427E">
      <w:pPr>
        <w:tabs>
          <w:tab w:val="left" w:pos="2835"/>
        </w:tabs>
      </w:pPr>
    </w:p>
    <w:p w:rsidR="00F5427E" w:rsidRDefault="00F5427E">
      <w:pPr>
        <w:tabs>
          <w:tab w:val="left" w:pos="2835"/>
        </w:tabs>
      </w:pPr>
    </w:p>
    <w:p w:rsidR="00F5427E" w:rsidRDefault="00F5427E"/>
    <w:p w:rsidR="00F5427E" w:rsidRDefault="00244FE7">
      <w:r>
        <w:t xml:space="preserve">     </w:t>
      </w:r>
    </w:p>
    <w:sectPr w:rsidR="00F5427E">
      <w:pgSz w:w="16838" w:h="11906" w:orient="landscape"/>
      <w:pgMar w:top="1701" w:right="1134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F78" w:rsidRDefault="00AE4F78">
      <w:pPr>
        <w:spacing w:line="240" w:lineRule="auto"/>
      </w:pPr>
      <w:r>
        <w:separator/>
      </w:r>
    </w:p>
  </w:endnote>
  <w:endnote w:type="continuationSeparator" w:id="0">
    <w:p w:rsidR="00AE4F78" w:rsidRDefault="00AE4F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F78" w:rsidRDefault="00AE4F78">
      <w:pPr>
        <w:spacing w:after="0"/>
      </w:pPr>
      <w:r>
        <w:separator/>
      </w:r>
    </w:p>
  </w:footnote>
  <w:footnote w:type="continuationSeparator" w:id="0">
    <w:p w:rsidR="00AE4F78" w:rsidRDefault="00AE4F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0D"/>
    <w:rsid w:val="000478D1"/>
    <w:rsid w:val="0006509F"/>
    <w:rsid w:val="000F7F19"/>
    <w:rsid w:val="00153E50"/>
    <w:rsid w:val="001A100C"/>
    <w:rsid w:val="00244FE7"/>
    <w:rsid w:val="00317724"/>
    <w:rsid w:val="00376E9C"/>
    <w:rsid w:val="004B1A12"/>
    <w:rsid w:val="0057630D"/>
    <w:rsid w:val="005E7D03"/>
    <w:rsid w:val="006C5206"/>
    <w:rsid w:val="006F3096"/>
    <w:rsid w:val="00780636"/>
    <w:rsid w:val="00937B55"/>
    <w:rsid w:val="00995190"/>
    <w:rsid w:val="009B0E8C"/>
    <w:rsid w:val="00A23F62"/>
    <w:rsid w:val="00AE4F78"/>
    <w:rsid w:val="00C04A77"/>
    <w:rsid w:val="00C05E5F"/>
    <w:rsid w:val="00C13298"/>
    <w:rsid w:val="00C71E24"/>
    <w:rsid w:val="00D34DAC"/>
    <w:rsid w:val="00DF59B1"/>
    <w:rsid w:val="00E53104"/>
    <w:rsid w:val="00F32D26"/>
    <w:rsid w:val="00F5427E"/>
    <w:rsid w:val="7CB9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E380"/>
  <w15:docId w15:val="{B8B86126-9A4A-4B37-BAC5-B172CFD4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darbalapis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darbalapis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darbalapis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darbalapis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Pedagogų</a:t>
            </a:r>
            <a:r>
              <a:rPr lang="lt-LT" baseline="0"/>
              <a:t> skaičius pagal darbo stažą ir kvalifikacines kategorijas</a:t>
            </a:r>
            <a:endParaRPr lang="lt-L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Vyr. specialistas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10–14 metų</c:v>
                </c:pt>
                <c:pt idx="2">
                  <c:v>20–24 metai</c:v>
                </c:pt>
                <c:pt idx="4">
                  <c:v>25 ir daugiau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EA-416F-8891-5070BA0EAC76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Specialistas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10–14 metų</c:v>
                </c:pt>
                <c:pt idx="2">
                  <c:v>20–24 metai</c:v>
                </c:pt>
                <c:pt idx="4">
                  <c:v>25 ir daugiau</c:v>
                </c:pt>
              </c:strCache>
            </c:strRef>
          </c:cat>
          <c:val>
            <c:numRef>
              <c:f>Lapas1!$C$2:$C$6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EA-416F-8891-5070BA0EAC76}"/>
            </c:ext>
          </c:extLst>
        </c:ser>
        <c:ser>
          <c:idx val="2"/>
          <c:order val="2"/>
          <c:tx>
            <c:strRef>
              <c:f>Lapas1!$D$1</c:f>
              <c:strCache>
                <c:ptCount val="1"/>
                <c:pt idx="0">
                  <c:v>Neturi kvalifikacijos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chemeClr val="accent1"/>
              </a:solidFill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10–14 metų</c:v>
                </c:pt>
                <c:pt idx="2">
                  <c:v>20–24 metai</c:v>
                </c:pt>
                <c:pt idx="4">
                  <c:v>25 ir daugiau</c:v>
                </c:pt>
              </c:strCache>
            </c:strRef>
          </c:cat>
          <c:val>
            <c:numRef>
              <c:f>Lapas1!$D$2:$D$6</c:f>
              <c:numCache>
                <c:formatCode>General</c:formatCode>
                <c:ptCount val="5"/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EA-416F-8891-5070BA0EAC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607553567"/>
        <c:axId val="1469915887"/>
      </c:barChart>
      <c:catAx>
        <c:axId val="16075535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469915887"/>
        <c:crosses val="autoZero"/>
        <c:auto val="1"/>
        <c:lblAlgn val="ctr"/>
        <c:lblOffset val="100"/>
        <c:noMultiLvlLbl val="0"/>
      </c:catAx>
      <c:valAx>
        <c:axId val="146991588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6075535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lt-LT" sz="1800" b="0" i="0" baseline="0">
                <a:effectLst/>
              </a:rPr>
              <a:t>Pedagogų skaičius pagal darbo stažą ir kvalifikacines kategorijas</a:t>
            </a:r>
            <a:endParaRPr lang="lt-LT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lt-L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Neturi kvalifikacijos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10–14 metų</c:v>
                </c:pt>
                <c:pt idx="2">
                  <c:v>20–24 metai</c:v>
                </c:pt>
                <c:pt idx="4">
                  <c:v>25 metai ir daugiau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21-4F51-9C68-C5742EF0ED51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Specialistas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10–14 metų</c:v>
                </c:pt>
                <c:pt idx="2">
                  <c:v>20–24 metai</c:v>
                </c:pt>
                <c:pt idx="4">
                  <c:v>25 metai ir daugiau</c:v>
                </c:pt>
              </c:strCache>
            </c:strRef>
          </c:cat>
          <c:val>
            <c:numRef>
              <c:f>Lapas1!$C$2:$C$6</c:f>
              <c:numCache>
                <c:formatCode>General</c:formatCode>
                <c:ptCount val="5"/>
                <c:pt idx="0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21-4F51-9C68-C5742EF0ED51}"/>
            </c:ext>
          </c:extLst>
        </c:ser>
        <c:ser>
          <c:idx val="2"/>
          <c:order val="2"/>
          <c:tx>
            <c:strRef>
              <c:f>Lapas1!$D$1</c:f>
              <c:strCache>
                <c:ptCount val="1"/>
                <c:pt idx="0">
                  <c:v>Vyr. specialistas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10–14 metų</c:v>
                </c:pt>
                <c:pt idx="2">
                  <c:v>20–24 metai</c:v>
                </c:pt>
                <c:pt idx="4">
                  <c:v>25 metai ir daugiau</c:v>
                </c:pt>
              </c:strCache>
            </c:strRef>
          </c:cat>
          <c:val>
            <c:numRef>
              <c:f>Lapas1!$D$2:$D$6</c:f>
              <c:numCache>
                <c:formatCode>General</c:formatCode>
                <c:ptCount val="5"/>
                <c:pt idx="0">
                  <c:v>1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21-4F51-9C68-C5742EF0ED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75004383"/>
        <c:axId val="1675004799"/>
      </c:barChart>
      <c:catAx>
        <c:axId val="167500438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t-LT" sz="1000" b="0" i="0" baseline="0">
                    <a:effectLst/>
                  </a:rPr>
                  <a:t>Pedagoginio darbo stažo grupė</a:t>
                </a:r>
                <a:endParaRPr lang="lt-LT" sz="1000">
                  <a:effectLst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lt-LT"/>
              </a:p>
            </c:rich>
          </c:tx>
          <c:layout>
            <c:manualLayout>
              <c:xMode val="edge"/>
              <c:yMode val="edge"/>
              <c:x val="2.3148148148148147E-2"/>
              <c:y val="0.2144444444444444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lt-L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675004799"/>
        <c:crosses val="autoZero"/>
        <c:auto val="1"/>
        <c:lblAlgn val="ctr"/>
        <c:lblOffset val="100"/>
        <c:noMultiLvlLbl val="0"/>
      </c:catAx>
      <c:valAx>
        <c:axId val="167500479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t-LT" sz="1000" b="0" i="0" baseline="0">
                    <a:effectLst/>
                  </a:rPr>
                  <a:t>Pedagogo kvalifikacinės kategorijos lygis</a:t>
                </a:r>
                <a:endParaRPr lang="lt-LT" sz="1000">
                  <a:effectLst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lt-LT" sz="1000"/>
              </a:p>
            </c:rich>
          </c:tx>
          <c:layout>
            <c:manualLayout>
              <c:xMode val="edge"/>
              <c:yMode val="edge"/>
              <c:x val="0.29691200058326039"/>
              <c:y val="0.7845828646419197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lt-L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6750043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defRPr lang="en-US" sz="1400" b="1" i="0" u="none" strike="noStrike" kern="1200" spc="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lt-LT" sz="1800" b="1">
                <a:solidFill>
                  <a:schemeClr val="tx1"/>
                </a:solidFill>
                <a:effectLst/>
                <a:latin typeface="Times New Roman" panose="02020603050405020304" charset="0"/>
                <a:cs typeface="Times New Roman" panose="02020603050405020304" charset="0"/>
              </a:rPr>
              <a:t>Mokinių skaičiaus pasiskirstymas pagal neformaliojo švietimo kryptis 2023-2024 m.m.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defRPr b="1">
                <a:solidFill>
                  <a:schemeClr val="tx1"/>
                </a:solidFill>
                <a:latin typeface="Times New Roman" panose="02020603050405020304" charset="0"/>
                <a:cs typeface="Times New Roman" panose="02020603050405020304" charset="0"/>
              </a:defRPr>
            </a:pPr>
            <a:endParaRPr lang="lt-LT" b="1">
              <a:solidFill>
                <a:schemeClr val="tx1"/>
              </a:solidFill>
              <a:latin typeface="Times New Roman" panose="02020603050405020304" charset="0"/>
              <a:cs typeface="Times New Roman" panose="02020603050405020304" charset="0"/>
            </a:endParaRPr>
          </a:p>
        </c:rich>
      </c:tx>
      <c:layout>
        <c:manualLayout>
          <c:xMode val="edge"/>
          <c:yMode val="edge"/>
          <c:x val="0.108461966729683"/>
          <c:y val="3.88381638465404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defRPr lang="en-US" sz="1400" b="1" i="0" u="none" strike="noStrike" kern="1200" spc="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lt-LT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8E0-4F66-8EFA-B6EBB24262E4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8E0-4F66-8EFA-B6EBB24262E4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8E0-4F66-8EFA-B6EBB24262E4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8E0-4F66-8EFA-B6EBB24262E4}"/>
              </c:ext>
            </c:extLst>
          </c:dPt>
          <c:cat>
            <c:strRef>
              <c:f>Lapas1!$A$2:$A$6</c:f>
              <c:strCache>
                <c:ptCount val="5"/>
                <c:pt idx="0">
                  <c:v>Muzika</c:v>
                </c:pt>
                <c:pt idx="1">
                  <c:v>Šokis</c:v>
                </c:pt>
                <c:pt idx="2">
                  <c:v>Sportas</c:v>
                </c:pt>
                <c:pt idx="4">
                  <c:v>Etnokultūra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9</c:v>
                </c:pt>
                <c:pt idx="1">
                  <c:v>14</c:v>
                </c:pt>
                <c:pt idx="2">
                  <c:v>12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8E0-4F66-8EFA-B6EBB24262E4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Stulpelis1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Muzika</c:v>
                </c:pt>
                <c:pt idx="1">
                  <c:v>Šokis</c:v>
                </c:pt>
                <c:pt idx="2">
                  <c:v>Sportas</c:v>
                </c:pt>
                <c:pt idx="4">
                  <c:v>Etnokultūra</c:v>
                </c:pt>
              </c:strCache>
            </c:strRef>
          </c:cat>
          <c:val>
            <c:numRef>
              <c:f>Lapas1!$C$2:$C$6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9-08E0-4F66-8EFA-B6EBB24262E4}"/>
            </c:ext>
          </c:extLst>
        </c:ser>
        <c:ser>
          <c:idx val="2"/>
          <c:order val="2"/>
          <c:tx>
            <c:strRef>
              <c:f>Lapas1!$D$1</c:f>
              <c:strCache>
                <c:ptCount val="1"/>
                <c:pt idx="0">
                  <c:v>3 seka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Muzika</c:v>
                </c:pt>
                <c:pt idx="1">
                  <c:v>Šokis</c:v>
                </c:pt>
                <c:pt idx="2">
                  <c:v>Sportas</c:v>
                </c:pt>
                <c:pt idx="4">
                  <c:v>Etnokultūra</c:v>
                </c:pt>
              </c:strCache>
            </c:strRef>
          </c:cat>
          <c:val>
            <c:numRef>
              <c:f>Lapas1!$D$2:$D$6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A-08E0-4F66-8EFA-B6EBB24262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65765952"/>
        <c:axId val="465768448"/>
      </c:barChart>
      <c:catAx>
        <c:axId val="465765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5768448"/>
        <c:crosses val="autoZero"/>
        <c:auto val="1"/>
        <c:lblAlgn val="ctr"/>
        <c:lblOffset val="100"/>
        <c:noMultiLvlLbl val="0"/>
      </c:catAx>
      <c:valAx>
        <c:axId val="465768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576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660143f-900e-41a5-9440-afb95e78866b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lt-L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defRPr 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lt-LT" sz="1800" b="1">
                <a:solidFill>
                  <a:schemeClr val="tx1"/>
                </a:solidFill>
                <a:effectLst/>
                <a:latin typeface="Times New Roman" panose="02020603050405020304" charset="0"/>
                <a:cs typeface="Times New Roman" panose="02020603050405020304" charset="0"/>
              </a:rPr>
              <a:t>Mokinių skaičiaus pasiskirstymas pagal neformaliojo švietimo kryptis 2024-2025 m.m.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lt-LT"/>
          </a:p>
        </c:rich>
      </c:tx>
      <c:layout>
        <c:manualLayout>
          <c:xMode val="edge"/>
          <c:yMode val="edge"/>
          <c:x val="0.121411997413367"/>
          <c:y val="3.88571828521434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defRPr lang="en-US"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887-4522-ABEC-D8EB361FD07C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887-4522-ABEC-D8EB361FD07C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887-4522-ABEC-D8EB361FD07C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887-4522-ABEC-D8EB361FD07C}"/>
              </c:ext>
            </c:extLst>
          </c:dPt>
          <c:cat>
            <c:strRef>
              <c:f>Lapas1!$A$2:$A$6</c:f>
              <c:strCache>
                <c:ptCount val="3"/>
                <c:pt idx="0">
                  <c:v>Sportas</c:v>
                </c:pt>
                <c:pt idx="1">
                  <c:v>Šokis</c:v>
                </c:pt>
                <c:pt idx="2">
                  <c:v>Muzika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14</c:v>
                </c:pt>
                <c:pt idx="1">
                  <c:v>7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887-4522-ABEC-D8EB361FD07C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Stulpelis1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3"/>
                <c:pt idx="0">
                  <c:v>Sportas</c:v>
                </c:pt>
                <c:pt idx="1">
                  <c:v>Šokis</c:v>
                </c:pt>
                <c:pt idx="2">
                  <c:v>Muzika</c:v>
                </c:pt>
              </c:strCache>
            </c:strRef>
          </c:cat>
          <c:val>
            <c:numRef>
              <c:f>Lapas1!$C$2:$C$6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9-D887-4522-ABEC-D8EB361FD07C}"/>
            </c:ext>
          </c:extLst>
        </c:ser>
        <c:ser>
          <c:idx val="2"/>
          <c:order val="2"/>
          <c:tx>
            <c:strRef>
              <c:f>Lapas1!$D$1</c:f>
              <c:strCache>
                <c:ptCount val="1"/>
                <c:pt idx="0">
                  <c:v>3 seka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3"/>
                <c:pt idx="0">
                  <c:v>Sportas</c:v>
                </c:pt>
                <c:pt idx="1">
                  <c:v>Šokis</c:v>
                </c:pt>
                <c:pt idx="2">
                  <c:v>Muzika</c:v>
                </c:pt>
              </c:strCache>
            </c:strRef>
          </c:cat>
          <c:val>
            <c:numRef>
              <c:f>Lapas1!$D$2:$D$6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A-D887-4522-ABEC-D8EB361FD0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65765952"/>
        <c:axId val="465768448"/>
      </c:barChart>
      <c:catAx>
        <c:axId val="465765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5768448"/>
        <c:crosses val="autoZero"/>
        <c:auto val="1"/>
        <c:lblAlgn val="ctr"/>
        <c:lblOffset val="100"/>
        <c:noMultiLvlLbl val="0"/>
      </c:catAx>
      <c:valAx>
        <c:axId val="465768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576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34f25057-5cee-4219-a49b-af23a92ec3a0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C5DEF-052C-49E1-9838-73332903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1327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Nijolė Gotlibienė</dc:creator>
  <cp:lastModifiedBy>Vartotojas</cp:lastModifiedBy>
  <cp:revision>19</cp:revision>
  <dcterms:created xsi:type="dcterms:W3CDTF">2022-11-21T09:47:00Z</dcterms:created>
  <dcterms:modified xsi:type="dcterms:W3CDTF">2025-12-16T12:30:00Z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288FE9929BA043EEB7F51DD7D55D376E_12</vt:lpwstr>
  </property>
</Properties>
</file>